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D125" w14:textId="77777777" w:rsidR="00E93488" w:rsidRPr="008E55EE" w:rsidRDefault="00E93488" w:rsidP="00E93488">
      <w:pPr>
        <w:pStyle w:val="TableParagraph"/>
        <w:spacing w:before="2" w:line="278" w:lineRule="exact"/>
        <w:ind w:left="107"/>
        <w:rPr>
          <w:b/>
          <w:sz w:val="24"/>
          <w:szCs w:val="24"/>
          <w:u w:val="single"/>
        </w:rPr>
      </w:pPr>
      <w:r w:rsidRPr="008E55EE">
        <w:rPr>
          <w:b/>
          <w:sz w:val="24"/>
          <w:szCs w:val="24"/>
          <w:u w:val="single"/>
        </w:rPr>
        <w:t>Awards</w:t>
      </w:r>
      <w:r w:rsidRPr="008E55EE">
        <w:rPr>
          <w:b/>
          <w:spacing w:val="-3"/>
          <w:sz w:val="24"/>
          <w:szCs w:val="24"/>
          <w:u w:val="single"/>
        </w:rPr>
        <w:t xml:space="preserve"> </w:t>
      </w:r>
      <w:r w:rsidRPr="008E55EE">
        <w:rPr>
          <w:b/>
          <w:sz w:val="24"/>
          <w:szCs w:val="24"/>
          <w:u w:val="single"/>
        </w:rPr>
        <w:t>and</w:t>
      </w:r>
      <w:r w:rsidRPr="008E55EE">
        <w:rPr>
          <w:b/>
          <w:spacing w:val="-3"/>
          <w:sz w:val="24"/>
          <w:szCs w:val="24"/>
          <w:u w:val="single"/>
        </w:rPr>
        <w:t xml:space="preserve"> </w:t>
      </w:r>
      <w:r w:rsidRPr="008E55EE">
        <w:rPr>
          <w:b/>
          <w:sz w:val="24"/>
          <w:szCs w:val="24"/>
          <w:u w:val="single"/>
        </w:rPr>
        <w:t>Distinctions</w:t>
      </w:r>
    </w:p>
    <w:p w14:paraId="622544CB" w14:textId="77777777" w:rsidR="00E93488" w:rsidRPr="008E55EE" w:rsidRDefault="00E93488" w:rsidP="00E93488">
      <w:pPr>
        <w:pStyle w:val="TableParagraph"/>
        <w:spacing w:before="2" w:line="278" w:lineRule="exact"/>
        <w:ind w:left="107"/>
        <w:rPr>
          <w:b/>
          <w:sz w:val="24"/>
          <w:szCs w:val="24"/>
        </w:rPr>
      </w:pPr>
    </w:p>
    <w:p w14:paraId="4ACCFD1B" w14:textId="77777777" w:rsidR="00E93488" w:rsidRPr="008E55EE" w:rsidRDefault="00E93488" w:rsidP="00E93488">
      <w:pPr>
        <w:pStyle w:val="TableParagraph"/>
        <w:numPr>
          <w:ilvl w:val="0"/>
          <w:numId w:val="1"/>
        </w:numPr>
        <w:spacing w:before="1" w:line="278" w:lineRule="auto"/>
        <w:ind w:right="226"/>
        <w:jc w:val="both"/>
        <w:rPr>
          <w:sz w:val="24"/>
          <w:szCs w:val="24"/>
        </w:rPr>
      </w:pPr>
      <w:r w:rsidRPr="008E55EE">
        <w:rPr>
          <w:sz w:val="24"/>
          <w:szCs w:val="24"/>
        </w:rPr>
        <w:t>Financial Grants were received from University of Delhi and Department of Biotechnology (DBT) to attend “European Congress of Biotechnology 2013” held at Bratislava, Slovakia.</w:t>
      </w:r>
    </w:p>
    <w:p w14:paraId="3516DB16" w14:textId="77777777" w:rsidR="00E93488" w:rsidRPr="008E55EE" w:rsidRDefault="00E93488" w:rsidP="00E93488">
      <w:pPr>
        <w:pStyle w:val="TableParagraph"/>
        <w:spacing w:before="1" w:line="278" w:lineRule="auto"/>
        <w:ind w:left="827" w:right="226"/>
        <w:jc w:val="both"/>
        <w:rPr>
          <w:sz w:val="24"/>
          <w:szCs w:val="24"/>
        </w:rPr>
      </w:pPr>
    </w:p>
    <w:p w14:paraId="48DFB282" w14:textId="77777777" w:rsidR="00E93488" w:rsidRPr="008E55EE" w:rsidRDefault="00E93488" w:rsidP="00E93488">
      <w:pPr>
        <w:pStyle w:val="TableParagraph"/>
        <w:numPr>
          <w:ilvl w:val="0"/>
          <w:numId w:val="1"/>
        </w:numPr>
        <w:spacing w:before="1" w:line="278" w:lineRule="auto"/>
        <w:ind w:right="226"/>
        <w:jc w:val="both"/>
        <w:rPr>
          <w:sz w:val="24"/>
          <w:szCs w:val="24"/>
        </w:rPr>
      </w:pPr>
      <w:r w:rsidRPr="008E55EE">
        <w:rPr>
          <w:sz w:val="24"/>
          <w:szCs w:val="24"/>
        </w:rPr>
        <w:t>Awarded Junior and Senior Research Fellowship (JRF and SRF) sponsored by the Ministry of New and Renewable Energy (MNRE) in March, 2011.</w:t>
      </w:r>
    </w:p>
    <w:p w14:paraId="48D0050F" w14:textId="77777777" w:rsidR="00E93488" w:rsidRPr="008E55EE" w:rsidRDefault="00E93488" w:rsidP="00E93488">
      <w:pPr>
        <w:pStyle w:val="TableParagraph"/>
        <w:spacing w:before="1" w:line="278" w:lineRule="auto"/>
        <w:ind w:left="827" w:right="226"/>
        <w:jc w:val="both"/>
        <w:rPr>
          <w:sz w:val="24"/>
          <w:szCs w:val="24"/>
        </w:rPr>
      </w:pPr>
    </w:p>
    <w:p w14:paraId="6F5EF680" w14:textId="77777777" w:rsidR="00E93488" w:rsidRPr="008E55EE" w:rsidRDefault="00E93488" w:rsidP="00E93488">
      <w:pPr>
        <w:pStyle w:val="TableParagraph"/>
        <w:numPr>
          <w:ilvl w:val="0"/>
          <w:numId w:val="1"/>
        </w:numPr>
        <w:spacing w:before="1" w:line="278" w:lineRule="auto"/>
        <w:ind w:right="226"/>
        <w:jc w:val="both"/>
        <w:rPr>
          <w:sz w:val="24"/>
          <w:szCs w:val="24"/>
        </w:rPr>
      </w:pPr>
      <w:r w:rsidRPr="008E55EE">
        <w:rPr>
          <w:sz w:val="24"/>
          <w:szCs w:val="24"/>
        </w:rPr>
        <w:t xml:space="preserve">Best oral presentation award in the international conference “European Congress of Biotechnology 2013” held at Bratislava, Slovakia (May, 16-19 2013), on “Butanol: Conversion of glycerol into biobutanol by </w:t>
      </w:r>
      <w:r w:rsidRPr="008E55EE">
        <w:rPr>
          <w:i/>
          <w:iCs/>
          <w:sz w:val="24"/>
          <w:szCs w:val="24"/>
        </w:rPr>
        <w:t xml:space="preserve">Clostridium </w:t>
      </w:r>
      <w:proofErr w:type="spellStart"/>
      <w:r w:rsidRPr="008E55EE">
        <w:rPr>
          <w:i/>
          <w:iCs/>
          <w:sz w:val="24"/>
          <w:szCs w:val="24"/>
        </w:rPr>
        <w:t>acetobutylicum</w:t>
      </w:r>
      <w:proofErr w:type="spellEnd"/>
      <w:r w:rsidRPr="008E55EE">
        <w:rPr>
          <w:sz w:val="24"/>
          <w:szCs w:val="24"/>
        </w:rPr>
        <w:t xml:space="preserve">: turning bacteria into biofuel factories”. </w:t>
      </w:r>
    </w:p>
    <w:p w14:paraId="2923757A" w14:textId="77777777" w:rsidR="00E93488" w:rsidRPr="008E55EE" w:rsidRDefault="00E93488" w:rsidP="00E93488">
      <w:pPr>
        <w:pStyle w:val="TableParagraph"/>
        <w:spacing w:before="1" w:line="278" w:lineRule="auto"/>
        <w:ind w:left="827" w:right="226"/>
        <w:jc w:val="both"/>
        <w:rPr>
          <w:sz w:val="24"/>
          <w:szCs w:val="24"/>
        </w:rPr>
      </w:pPr>
    </w:p>
    <w:p w14:paraId="505E8F3A" w14:textId="77777777" w:rsidR="00E93488" w:rsidRPr="008E55EE" w:rsidRDefault="00E93488" w:rsidP="00E93488">
      <w:pPr>
        <w:pStyle w:val="TableParagraph"/>
        <w:numPr>
          <w:ilvl w:val="0"/>
          <w:numId w:val="1"/>
        </w:numPr>
        <w:spacing w:before="1" w:line="278" w:lineRule="auto"/>
        <w:ind w:right="226"/>
        <w:jc w:val="both"/>
        <w:rPr>
          <w:sz w:val="24"/>
          <w:szCs w:val="24"/>
        </w:rPr>
      </w:pPr>
      <w:r w:rsidRPr="008E55EE">
        <w:rPr>
          <w:sz w:val="24"/>
          <w:szCs w:val="24"/>
        </w:rPr>
        <w:t xml:space="preserve">Best poster presentation award in the international conference “Asian Congress on Biotechnology 2013” under the aegis of Asian Federation of Biotechnology, held at IIT, New Delhi (December 15-16, 2013), India on “Potential of </w:t>
      </w:r>
      <w:r w:rsidRPr="008E55EE">
        <w:rPr>
          <w:i/>
          <w:iCs/>
          <w:sz w:val="24"/>
          <w:szCs w:val="24"/>
        </w:rPr>
        <w:t xml:space="preserve">Clostridium </w:t>
      </w:r>
      <w:proofErr w:type="spellStart"/>
      <w:r w:rsidRPr="008E55EE">
        <w:rPr>
          <w:i/>
          <w:iCs/>
          <w:sz w:val="24"/>
          <w:szCs w:val="24"/>
        </w:rPr>
        <w:t>acetobutylicum</w:t>
      </w:r>
      <w:proofErr w:type="spellEnd"/>
      <w:r w:rsidRPr="008E55EE">
        <w:rPr>
          <w:sz w:val="24"/>
          <w:szCs w:val="24"/>
        </w:rPr>
        <w:t xml:space="preserve"> KF158795 for ABE fermentation using glycerol as a raw material”. </w:t>
      </w:r>
    </w:p>
    <w:p w14:paraId="56A98FF7" w14:textId="77777777" w:rsidR="00E93488" w:rsidRPr="008E55EE" w:rsidRDefault="00E93488" w:rsidP="00E93488">
      <w:pPr>
        <w:pStyle w:val="TableParagraph"/>
        <w:spacing w:before="1" w:line="278" w:lineRule="auto"/>
        <w:ind w:left="827" w:right="226"/>
        <w:jc w:val="both"/>
        <w:rPr>
          <w:sz w:val="24"/>
          <w:szCs w:val="24"/>
        </w:rPr>
      </w:pPr>
    </w:p>
    <w:p w14:paraId="4204E626" w14:textId="77777777" w:rsidR="00E93488" w:rsidRPr="008E55EE" w:rsidRDefault="00E93488" w:rsidP="00E93488">
      <w:pPr>
        <w:pStyle w:val="TableParagraph"/>
        <w:numPr>
          <w:ilvl w:val="0"/>
          <w:numId w:val="1"/>
        </w:numPr>
        <w:spacing w:before="1" w:line="278" w:lineRule="auto"/>
        <w:ind w:right="226"/>
        <w:jc w:val="both"/>
        <w:rPr>
          <w:sz w:val="24"/>
          <w:szCs w:val="24"/>
        </w:rPr>
      </w:pPr>
      <w:r w:rsidRPr="008E55EE">
        <w:rPr>
          <w:sz w:val="24"/>
          <w:szCs w:val="24"/>
        </w:rPr>
        <w:t xml:space="preserve">Participated and got an appreciation letter from M.S. Swaminathan, Chairman, Genetics Congress Trust in the workshop on “Microbes and Environment” conducted by </w:t>
      </w:r>
      <w:proofErr w:type="spellStart"/>
      <w:r w:rsidRPr="008E55EE">
        <w:rPr>
          <w:sz w:val="24"/>
          <w:szCs w:val="24"/>
        </w:rPr>
        <w:t>XVth</w:t>
      </w:r>
      <w:proofErr w:type="spellEnd"/>
      <w:r w:rsidRPr="008E55EE">
        <w:rPr>
          <w:sz w:val="24"/>
          <w:szCs w:val="24"/>
        </w:rPr>
        <w:t xml:space="preserve"> International Genetics Congress Trust at Department of Genetics, South Campus, Delhi University on 6th and 7th February’ 2009.</w:t>
      </w:r>
    </w:p>
    <w:p w14:paraId="50FE1D77" w14:textId="77777777" w:rsidR="00E93488" w:rsidRPr="008E55EE" w:rsidRDefault="00E93488" w:rsidP="00E93488">
      <w:pPr>
        <w:jc w:val="both"/>
        <w:rPr>
          <w:sz w:val="24"/>
          <w:szCs w:val="24"/>
        </w:rPr>
      </w:pPr>
    </w:p>
    <w:p w14:paraId="3FBD3A05" w14:textId="77777777" w:rsidR="00E93488" w:rsidRDefault="00E93488" w:rsidP="00E934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E55EE">
        <w:rPr>
          <w:sz w:val="24"/>
          <w:szCs w:val="24"/>
        </w:rPr>
        <w:t>Selected twice in the Association of Biotechnology Led Enterprise’s BEST India (Biotechnology Entrepreneurship Student Teams) 2012 and 2013.</w:t>
      </w:r>
    </w:p>
    <w:p w14:paraId="596798D9" w14:textId="77777777" w:rsidR="00E93488" w:rsidRPr="00F76AF7" w:rsidRDefault="00E93488" w:rsidP="00E93488">
      <w:pPr>
        <w:pStyle w:val="ListParagraph"/>
        <w:rPr>
          <w:sz w:val="24"/>
          <w:szCs w:val="24"/>
        </w:rPr>
      </w:pPr>
    </w:p>
    <w:p w14:paraId="0B746EBA" w14:textId="77777777" w:rsidR="00AF0080" w:rsidRDefault="00AF0080"/>
    <w:sectPr w:rsidR="00AF0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91467"/>
    <w:multiLevelType w:val="hybridMultilevel"/>
    <w:tmpl w:val="E63C2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88"/>
    <w:rsid w:val="00AF0080"/>
    <w:rsid w:val="00E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3363"/>
  <w15:chartTrackingRefBased/>
  <w15:docId w15:val="{99A6D692-636B-4C3B-B321-8ADC118A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488"/>
  </w:style>
  <w:style w:type="paragraph" w:customStyle="1" w:styleId="TableParagraph">
    <w:name w:val="Table Paragraph"/>
    <w:basedOn w:val="Normal"/>
    <w:uiPriority w:val="1"/>
    <w:qFormat/>
    <w:rsid w:val="00E9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Lakshna Mahajan</dc:creator>
  <cp:keywords/>
  <dc:description/>
  <cp:lastModifiedBy>Lakshna Mahajan</cp:lastModifiedBy>
  <cp:revision>1</cp:revision>
  <dcterms:created xsi:type="dcterms:W3CDTF">2021-08-18T11:24:00Z</dcterms:created>
  <dcterms:modified xsi:type="dcterms:W3CDTF">2021-08-18T11:25:00Z</dcterms:modified>
</cp:coreProperties>
</file>